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6DF470">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24928523">
      <w:pPr>
        <w:spacing w:line="540" w:lineRule="exact"/>
        <w:jc w:val="center"/>
        <w:rPr>
          <w:rFonts w:ascii="方正小标宋_GBK" w:hAnsi="华文中宋" w:eastAsia="方正小标宋_GBK" w:cs="宋体"/>
          <w:b/>
          <w:kern w:val="0"/>
          <w:sz w:val="48"/>
          <w:szCs w:val="48"/>
        </w:rPr>
      </w:pPr>
    </w:p>
    <w:p w14:paraId="1B50855E">
      <w:pPr>
        <w:spacing w:line="540" w:lineRule="exact"/>
        <w:jc w:val="center"/>
        <w:rPr>
          <w:rFonts w:ascii="方正小标宋_GBK" w:hAnsi="华文中宋" w:eastAsia="方正小标宋_GBK" w:cs="宋体"/>
          <w:b/>
          <w:kern w:val="0"/>
          <w:sz w:val="48"/>
          <w:szCs w:val="48"/>
        </w:rPr>
      </w:pPr>
    </w:p>
    <w:p w14:paraId="51D4A141">
      <w:pPr>
        <w:spacing w:line="540" w:lineRule="exact"/>
        <w:jc w:val="center"/>
        <w:rPr>
          <w:rFonts w:ascii="方正小标宋_GBK" w:hAnsi="华文中宋" w:eastAsia="方正小标宋_GBK" w:cs="宋体"/>
          <w:b/>
          <w:kern w:val="0"/>
          <w:sz w:val="48"/>
          <w:szCs w:val="48"/>
        </w:rPr>
      </w:pPr>
    </w:p>
    <w:p w14:paraId="5108EC20">
      <w:pPr>
        <w:spacing w:line="540" w:lineRule="exact"/>
        <w:jc w:val="center"/>
        <w:rPr>
          <w:rFonts w:ascii="方正小标宋_GBK" w:hAnsi="华文中宋" w:eastAsia="方正小标宋_GBK" w:cs="宋体"/>
          <w:b/>
          <w:kern w:val="0"/>
          <w:sz w:val="48"/>
          <w:szCs w:val="48"/>
        </w:rPr>
      </w:pPr>
    </w:p>
    <w:p w14:paraId="05215982">
      <w:pPr>
        <w:spacing w:line="540" w:lineRule="exact"/>
        <w:jc w:val="center"/>
        <w:rPr>
          <w:rFonts w:ascii="方正小标宋_GBK" w:hAnsi="华文中宋" w:eastAsia="方正小标宋_GBK" w:cs="宋体"/>
          <w:b/>
          <w:kern w:val="0"/>
          <w:sz w:val="48"/>
          <w:szCs w:val="48"/>
        </w:rPr>
      </w:pPr>
    </w:p>
    <w:p w14:paraId="300E1E05">
      <w:pPr>
        <w:spacing w:line="540" w:lineRule="exact"/>
        <w:jc w:val="center"/>
        <w:rPr>
          <w:rFonts w:ascii="方正小标宋_GBK" w:hAnsi="华文中宋" w:eastAsia="方正小标宋_GBK" w:cs="宋体"/>
          <w:b/>
          <w:kern w:val="0"/>
          <w:sz w:val="48"/>
          <w:szCs w:val="48"/>
        </w:rPr>
      </w:pPr>
    </w:p>
    <w:p w14:paraId="0B1075A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2BA3CEC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40AD3AEC">
      <w:pPr>
        <w:spacing w:line="540" w:lineRule="exact"/>
        <w:jc w:val="center"/>
        <w:rPr>
          <w:rFonts w:ascii="华文中宋" w:hAnsi="华文中宋" w:eastAsia="华文中宋" w:cs="宋体"/>
          <w:b/>
          <w:kern w:val="0"/>
          <w:sz w:val="52"/>
          <w:szCs w:val="52"/>
        </w:rPr>
      </w:pPr>
    </w:p>
    <w:p w14:paraId="1A54E574">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628F4CD8">
      <w:pPr>
        <w:spacing w:line="700" w:lineRule="exact"/>
        <w:jc w:val="left"/>
        <w:rPr>
          <w:rFonts w:hint="eastAsia" w:hAnsi="宋体" w:eastAsia="仿宋_GB2312" w:cs="宋体"/>
          <w:kern w:val="0"/>
          <w:sz w:val="36"/>
          <w:szCs w:val="36"/>
        </w:rPr>
      </w:pPr>
    </w:p>
    <w:p w14:paraId="746865A4">
      <w:pPr>
        <w:spacing w:line="700" w:lineRule="exact"/>
        <w:jc w:val="left"/>
        <w:rPr>
          <w:rFonts w:hint="eastAsia" w:hAnsi="宋体" w:eastAsia="仿宋_GB2312" w:cs="宋体"/>
          <w:kern w:val="0"/>
          <w:sz w:val="36"/>
          <w:szCs w:val="36"/>
        </w:rPr>
      </w:pPr>
    </w:p>
    <w:p w14:paraId="61C14CD2">
      <w:pPr>
        <w:spacing w:line="700" w:lineRule="exact"/>
        <w:jc w:val="left"/>
        <w:rPr>
          <w:rFonts w:hint="eastAsia" w:hAnsi="宋体" w:eastAsia="仿宋_GB2312" w:cs="宋体"/>
          <w:kern w:val="0"/>
          <w:sz w:val="36"/>
          <w:szCs w:val="36"/>
          <w:lang w:eastAsia="zh-CN"/>
        </w:rPr>
      </w:pPr>
    </w:p>
    <w:p w14:paraId="2C6F4F0D">
      <w:pPr>
        <w:spacing w:line="700" w:lineRule="exact"/>
        <w:jc w:val="left"/>
        <w:rPr>
          <w:rFonts w:hint="eastAsia" w:hAnsi="宋体" w:eastAsia="仿宋_GB2312" w:cs="宋体"/>
          <w:kern w:val="0"/>
          <w:sz w:val="36"/>
          <w:szCs w:val="36"/>
          <w:lang w:eastAsia="zh-CN"/>
        </w:rPr>
      </w:pPr>
    </w:p>
    <w:p w14:paraId="60C93310">
      <w:pPr>
        <w:spacing w:line="700" w:lineRule="exact"/>
        <w:jc w:val="left"/>
        <w:rPr>
          <w:rFonts w:hint="eastAsia" w:hAnsi="宋体" w:eastAsia="仿宋_GB2312" w:cs="宋体"/>
          <w:kern w:val="0"/>
          <w:sz w:val="36"/>
          <w:szCs w:val="36"/>
          <w:lang w:eastAsia="zh-CN"/>
        </w:rPr>
      </w:pPr>
    </w:p>
    <w:p w14:paraId="11FC608C">
      <w:pPr>
        <w:spacing w:line="700" w:lineRule="exact"/>
        <w:jc w:val="left"/>
        <w:rPr>
          <w:rFonts w:hint="eastAsia" w:hAnsi="宋体" w:eastAsia="仿宋_GB2312" w:cs="宋体"/>
          <w:kern w:val="0"/>
          <w:sz w:val="36"/>
          <w:szCs w:val="36"/>
          <w:lang w:eastAsia="zh-CN"/>
        </w:rPr>
      </w:pPr>
    </w:p>
    <w:p w14:paraId="4C40653D">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克州行政服务中心</w:t>
      </w:r>
    </w:p>
    <w:p w14:paraId="4C0D03BB">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3EEA8841">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5C8FE73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20FA8AF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贯彻执行党和国家、自治区政务服务和公共资源交易的法律法规和方针政策。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组织、协调有关部门政务服务事项进驻政务服务大厅，负责政务服务和公共资源交易平台的信息化建设，为政务服务和公共资源交易活动提供服务场所和平台。</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负责对自治州本级工程建设项目招标投标、矿业权出让、国有产权交易、政府采购</w:t>
      </w:r>
      <w:r>
        <w:rPr>
          <w:rFonts w:hint="eastAsia" w:ascii="仿宋_GB2312" w:hAnsi="宋体" w:eastAsia="仿宋_GB2312"/>
          <w:b w:val="0"/>
          <w:bCs/>
          <w:sz w:val="32"/>
          <w:szCs w:val="32"/>
          <w:lang w:eastAsia="zh-CN"/>
        </w:rPr>
        <w:t>及</w:t>
      </w:r>
      <w:r>
        <w:rPr>
          <w:rFonts w:hint="eastAsia" w:ascii="仿宋_GB2312" w:hAnsi="宋体" w:eastAsia="仿宋_GB2312"/>
          <w:b w:val="0"/>
          <w:bCs/>
          <w:sz w:val="32"/>
          <w:szCs w:val="32"/>
        </w:rPr>
        <w:t>以市场化配置的自然资源、资产股权等各类公共资源交易，提供见证、场所、信息、档案等管理和服务。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承担自治州政务服务大厅和公共资源交易大厅的日常管理及规范化建设工作，为“放管服”改革落地提供支撑。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对各县（市）政务服务和公共资源交易中心工作进行业务指导。</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承担自治区一体化在线政务服务平台自治州业务系统对接、建设、管理和公共资源交易平台建设、运行维护等工作，承担“12345”在线服务平台相关工作。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克州政务服务和公共资源交易中心无下属预算单位，下设7个科室，分别是：办公室、政务服务科、技术保障科、效能督查科、综合管理科、工程建设与自然资源交易科、政府采购与产权交易科。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克州政务服务和公共资源交易中心编制数23个，实有人数23人，其中：在职19人，增加9人；退休0人，增加0人；离休0人，增加0人。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加快动态调整行政审批机制。对进驻政务服务大厅行政许可事项实行动态管理，实时更新完善，推动所有审批单位、审批事项进驻政务服务大厅，实现群众和企业办事只进“一扇门”。目前，行政许可审批事项除涉密和不宜进驻大厅外，基本实现“应进必进”。</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加快政务服务事项精简。依托自治区一体化在线政务服务平台，按照减材料、减时限、减环节、提升群众满意度“三减一提升”的标准，开展事项精细化梳理，加快完善政务服务事项动态的认领、编制、发布和电子证照模板制作、电子证照历史数据汇聚等工作，着力提升网办申报率，实现线上“一网通办”。截至12月底，克州地区已认领各类依申请政务服务事项1894项、发布2666项，制作电子证照模板466个，汇聚各类电子证照38871个，制作各类电子签章292个。</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加快推进数据有序共享。结合实际，起草了《自治州关于建立健全政务数据共享协调机制加快推进数据有序共享实施方案》，依托自治区一体化在线政务服务平台数据共享系统，将更多直接关系企业和群众办事、应用频次高的数据纳入共享范围，积极推进政务服务数据资源共享责任清单的认领和数据资源挂载工作，提供数据共享服务。截至12月底，已编制各部门政务服务数据目录清单8272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深化“最多跑一次”改革。运用自治区一体化在线政务服务平台梳理公布“最多跑一次”审批事项，在政务大厅设置“一次办不完登记处”、邮政速递和代办服务窗口，避免群众多跑路。在公安、不动产、房产、税务和市场监管局等高频事项窗口推行“5+X”预约、延时服务模式，为办事群众提供方便。截至12月底，政务服务大厅共办理“最多跑一次”事项92601件，提供延时预约服务16475件。积极推动投资项目在线审批监管平台应用和工程建设项目审批制度改革，推行“一网、一窗”受理，缩短投资项目审批时效。</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加快推进政务服务“跨省通办”。梳理具备全程办和半网办申报事项，依托新疆政务服务网发布“跨省通办”事项，实现同一事项在不同地域无差别受理，同标准办理，提升数据共享能力；在政务大厅增设“跨省跨地通办”专区，推行“多地联办”，正在与喀什、和田地区协商签订三方合作协议，推动南疆地州间政务服务“跨区域通办”合作，满足企业和群众异地办理需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推行“一件事一次办”。制定印发了《自治州推行“一件事一次办”“最多跑一趟”改革工作实施方案》，在政务服务大厅开设“一件事一次办”政务服务专窗，并组织相关单位梳理“一件事一次办”目录清单，并编制办事指南。截至12月底，已梳理“一件事一次办”目录清单44条、办事指南30条。组织实施了“一件事一次办”主题套餐项目，特色专区界面、“出生一件事”、“灵活就业人员参保”已上线试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全面强化交易领域监管，提升交易服务水平。一是不断完善公共资源交易制度建设，中心结合实际草拟了《克孜勒苏柯尔克孜自治州公共资源交易管理办法》，多次征求行业主管部门意见，并召开了听证会；建立《互联网用户账号管理制度》《网信安全应对处置机制》等4项网络安全制度。二是明晰界定交易各方权责形成监管合力，凡进入公共资源交易平台交易的项目，招标人严格按照《克州政务服务和公共资源交易中心项目招投标工作流程》开展招投标工作。中心严格按照《克州公共资源交易平台代理机构入场交易百分制考核细则》，加大对进场交易招标代理机构行为监管；抽取评审专家，做到“三不见面”；三是全面推行公共资源交易全程电子化，今年工程建设项目（除EPC项目以外）已全部实现“不见面”开标；在“不见面”开标系统基础上，搭载远程异地评标系统“易采虹”平台，加快推进自治州“远程异地评标”进程，将“互联网+”技术与公共资源交易工作结合，实现公共资源交易全程公开透明、全程留痕、全程可追溯。截止2021年12月31日，州本级政府采购和建设工程入场交易项目共319项，交易金额36.59亿元，节约金额1.48亿元，节约率3.88%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加快12345政务服务热线平台建设。12345政务服务热线运行以来，平台呼叫中心配置专职话务人员11名，实行“7×24小时”全天候人工服务。通过12345热线倒逼政府部门提升办事效率、改进工作作风、优化办事程序，从源头化解矛盾，切实为群众提供贴心服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增设重点项目服务窗口。为加强克州重点项目审批服务协调工作，促进重点项目快速落地，健全重点项目审批服务工作机制，今年7月，政务服务大厅设立了重点项目代办窗口，将克州重点建设项目涉及注册登记、项目立项、用地审批、建设前期等纳入中心重点项目服务窗口，开通绿色通道，为企业提供“保姆式”服务。窗口主要负责重点项目涉及审批方面的办理、政策咨询、业务指导，并全程跟踪和协办重点项目的审批服务，及时解决审批过程中遇到的困难问题。2021年为1家招商企业办理营业执照、刻章、税务实名认证和银行开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政务服务和公共资源交易中心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政务服务和公共资源交易中心集体决策制度》和《克州政务服务和公共资源交易中心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政务服务和公共资源交易中心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政务服务和公共资源交易中心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w:t>
      </w:r>
      <w:r>
        <w:rPr>
          <w:rFonts w:hint="eastAsia" w:ascii="仿宋_GB2312" w:hAnsi="宋体" w:eastAsia="仿宋_GB2312"/>
          <w:b w:val="0"/>
          <w:bCs/>
          <w:sz w:val="32"/>
          <w:szCs w:val="32"/>
          <w:lang w:val="en-US" w:eastAsia="zh-CN"/>
        </w:rPr>
        <w:t>(6)</w:t>
      </w:r>
      <w:r>
        <w:rPr>
          <w:rFonts w:hint="eastAsia" w:ascii="仿宋_GB2312" w:hAnsi="宋体" w:eastAsia="仿宋_GB2312"/>
          <w:b w:val="0"/>
          <w:bCs/>
          <w:sz w:val="32"/>
          <w:szCs w:val="32"/>
        </w:rPr>
        <w:t>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专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284.32万元，项目支出安排资金286.61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本单位2021年度项目支出133.46万元，涉及项目数量8个，其中：重点项目支出58.05万元，涉及重点项目数量1个，重点项目支出与部门项目总支出的比率为43.50%。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2021年度本单位年初批复部门预算资金总额为254.67万元，年中调增预算总额为316.26万元，调整后全年预算资金总额为570.93万元。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2021年度本单位部门整体支出资金总额为417.78万元，预算执行率为73.18%，预算调整率为124.19%。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年初政府采购预算数为150.12万元，实际政府采购数为150.12万元，政府采购执行率为100%。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32D7594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65F11BC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为加强我单位预算管理、规范财务行为我单位制定了《克州政务服务和公共资源交易中心内部控制规范》《克州政务服务和公共资源交易中心项目管理规范》等资金管理制度，已建立制度均健全且有效运行。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2021年度我单位基本支出预算总额为284.32万元，其中人员经费266.59万元，公用经费17.73万元。实际执行总额为284.32万元，预算执行率100%。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3.75万元，比上年增加1.53万元，增加40.80%，主要原因是：增加了公务用车运行费。其中，因公出国（境）费支出0万元；公务用车购置及运行维护费支出3.75万元；公务接待费支出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与年初预算数相比情况：一般公共预算“三公”经费支出年初预算数4.3万元，预算执行数为3.75万元，执行率为87.21%，主要原因是：增加了公务用车运行费。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2021年度本单位项目支出预算总额为286.61万元，实际执行资金总额为133.46万元，预算执行率为46.57%。</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我单位2021年度未安排专项项目资金预算。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2021年度预算安排本级财力资金286.61万元，实际支出资金133.46万元，预算执行率为46.57%，涉及项目个数8个，各项目详细执行情况如下：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公共资源交易中心业务经费项目：全年预算数为4万元，预算执行数为4万元，预算执行率为100%。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大厅保洁员工资项目：全年预算数为4.32万元，预算执行数为4.32万元，预算执行率为100%。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交易平台网络运行费项目：全年预算数为2万元，预算执行数为2万元，预算执行率为100%。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聘用人员经费项目：全年预算数为9万元，预算执行数为9万元，预算执行率为100%。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业务经费项目：全年预算数为6万元，预算执行数为6万元，预算执行率为100%。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体化在线政务服务平台特色专区及主题套餐系统采购项目：全年预算数为29.50万元，预算执行数为11.80万元，预算执行率为40%。偏差原因：根据合同约定该项目按季度分四笔付款，第一季度付款40%：第二季度付款20%：第三季度付款20%，第四季度付款20%，截止2021年2月底，我单位已支付合同约定的第一季度得40%款项，剩余60%款项尚未支付。由于第二季度得20%款项未上财经领导小组会议，暂未形成支出。改进措施：按照合同约定尽快支付。</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体化在线政务服务平台特色专区及主题套餐系统采购项目：全年预算数为193.50万元，预算执行数为58.05万元，预算执行率为30%。偏差原因：根据合同约定该项目分三笔付款，第一次付款30%：第一次付款60%：第一次付款10%，截止2021年2月底，我单位已支付合同约定的30%款项，剩余70%款项尚未支付。改进措施：按照合同约定支付。</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“好差评”系统建设项目：全年预算数为38.20万元，预算执行数为38.20万元，预算执行率为100%。</w:t>
      </w:r>
    </w:p>
    <w:p w14:paraId="66EB696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7799052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14:paraId="3C85E64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35FAE4D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本单位2021年初资产合计数为227.71万元，年末资产合计数为515.83万元。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w:t>
      </w:r>
      <w:r>
        <w:rPr>
          <w:rFonts w:hint="eastAsia" w:ascii="仿宋_GB2312" w:hAnsi="宋体" w:eastAsia="仿宋_GB2312"/>
          <w:b w:val="0"/>
          <w:bCs/>
          <w:sz w:val="32"/>
          <w:szCs w:val="32"/>
          <w:lang w:eastAsia="zh-CN"/>
        </w:rPr>
        <w:t>及</w:t>
      </w:r>
      <w:r>
        <w:rPr>
          <w:rFonts w:hint="eastAsia" w:ascii="仿宋_GB2312" w:hAnsi="宋体" w:eastAsia="仿宋_GB2312"/>
          <w:b w:val="0"/>
          <w:bCs/>
          <w:sz w:val="32"/>
          <w:szCs w:val="32"/>
        </w:rPr>
        <w:t>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流动资产严格按照我单位内控体系要求进行管理，无备用金，单位货币资金管理由财务科每月与银行进行对账，并填写银行余额调节表。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截止本年度固定资产账面净值500.69万元，年末实际在用固定资产500.69万元，固定资产利用率为100%。</w:t>
      </w:r>
    </w:p>
    <w:p w14:paraId="3A238ED6">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72ABAF5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部门单位整体支出共设置一级指标3个，二级指标7个，三级指标17个，其中已完成三级指标17个，指标完成率为100%。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保障人员人数，预期指标是等于19人，实际完成值是19人，指标完成率是100%，达到预期目标。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保障车辆数，预期指标是等于2辆，实际完成值是2辆，指标完成率是100%，达到预期目标。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业务监督服务单位数，预期指标是大于等于43个，实际完成值是43个，指标完成率是100%，达到预期目标。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为全州提供招投标交易服务及平台，预期指标是大于等于500次，实际完成值是500次，指标完成率是100%，达到预期目标。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数量指标共计4个，完成4个，达到预期目标，数量指标成。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年底考核合格率，预期指标是等于100%，实际完成值是100%，指标完成率是100%，达到预期目标。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大厅设备维修率，预期指标是大于等于95%，实际完成值是95%，指标完成率是100%，达到预期目标。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信息系统和综合服务故障率，预期指标是等于0%，实际完成值是0%，指标完成率是100%，达到预期目标。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质量指标共计3个，完成3个，达到预期目标，数量指标完成。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工作按时办结率，预期指标是等于98%，实际完成值是98%，指标完成率是100%，达到预期目标。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资金支付及时率，预期指标是等于100%，实际完成值是100%，指标完成率是100%，达到预期目标。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时效指标共计2个，完成2个，达到预期目标，数量指标完成。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人员经费，预期指标是等于211.62万元，实际完成值是211.62万元，指标完成率是100%，达到预期目标。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公用经费，预期指标是等于17.73万元，实际完成值是17.73万元，指标完成率是100%，达到预期目标。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项目经费，预期指标是等于25.32万元，实际完成值是25.32万元，指标完成率是100%，达到预期目标。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成本指标共计3个，完成3个，达到成本控制及改善目标。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树立窗口工作良好形象，简化程序、提高效率、提升服务水平，预期指标是有效改善，实际完成值是有效改善，指标完成率是100%，达到预期目标。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扎实开展招投标业务，打造公平、公正、阳光的公共资源交易平台，预期指标是显著提升，实际完成值是显著提升，指标完成率是100%，达到预期目标。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社会效益指标共计2个，完成2个，达到单位履职能力对社会带来的影响预期目标，社会效益指标完成。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简化程序、提高效率提升服务水平，预期指标是有效改善，实际完成值是有效改善，指标完成率是100%，达到预期目标。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持续深化行政审批制度改革、继续优化行政服务平台，预期指标是持续改进，实际完成值是持续改进，指标完成率是100%，达到预期目标。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可持续影响指标共计2个，完成2个，实现部门绩效长效机制建设，提高工作效率目标。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受益群众及职工满意度，预期指标是大于等于95%，实际完成值是95%，指标完成率是100%，达到预期目标。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满意度指标共计1个，完成1个，达到部门（单位）服务对象对部门履职效果的满意度，服务对象满意度指标完成。</w:t>
      </w:r>
    </w:p>
    <w:p w14:paraId="09815E3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13DD7A7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257AB832">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5B63C06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2CE4F1E"/>
    <w:rsid w:val="1438599A"/>
    <w:rsid w:val="200F4073"/>
    <w:rsid w:val="24B86128"/>
    <w:rsid w:val="3E70272C"/>
    <w:rsid w:val="51C70EA9"/>
    <w:rsid w:val="54F842B6"/>
    <w:rsid w:val="656071F2"/>
    <w:rsid w:val="6BF1756B"/>
    <w:rsid w:val="6E0F1506"/>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9752</Words>
  <Characters>10291</Characters>
  <Lines>2</Lines>
  <Paragraphs>1</Paragraphs>
  <TotalTime>30</TotalTime>
  <ScaleCrop>false</ScaleCrop>
  <LinksUpToDate>false</LinksUpToDate>
  <CharactersWithSpaces>10571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2025-07-31T03:10:48Z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